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4FA88" w14:textId="77777777" w:rsidR="006139D9" w:rsidRPr="00ED1CDD" w:rsidRDefault="006139D9">
      <w:pPr>
        <w:rPr>
          <w:rFonts w:ascii="Garamond" w:hAnsi="Garamond"/>
        </w:rPr>
      </w:pPr>
    </w:p>
    <w:p w14:paraId="16CC2C1E" w14:textId="050A56A5" w:rsidR="006139D9" w:rsidRDefault="006139D9" w:rsidP="00A67ED8">
      <w:pPr>
        <w:jc w:val="center"/>
        <w:rPr>
          <w:rFonts w:ascii="Garamond" w:hAnsi="Garamond"/>
        </w:rPr>
      </w:pPr>
      <w:r w:rsidRPr="00ED1CDD">
        <w:rPr>
          <w:rFonts w:ascii="Garamond" w:hAnsi="Garamond"/>
        </w:rPr>
        <w:t>IGIENE</w:t>
      </w:r>
    </w:p>
    <w:p w14:paraId="4625DD8D" w14:textId="77777777" w:rsidR="00C035F5" w:rsidRPr="00CA20E0" w:rsidRDefault="00C035F5" w:rsidP="00C035F5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78AAA917" w14:textId="77777777" w:rsidR="00C035F5" w:rsidRPr="00ED1CDD" w:rsidRDefault="00C035F5" w:rsidP="00A67ED8">
      <w:pPr>
        <w:jc w:val="center"/>
        <w:rPr>
          <w:rFonts w:ascii="Garamond" w:hAnsi="Garamond"/>
        </w:rPr>
      </w:pPr>
    </w:p>
    <w:p w14:paraId="31C54647" w14:textId="77777777" w:rsidR="006139D9" w:rsidRPr="00ED1CDD" w:rsidRDefault="006139D9" w:rsidP="006139D9">
      <w:pPr>
        <w:rPr>
          <w:rFonts w:ascii="Garamond" w:hAnsi="Garamond"/>
        </w:rPr>
      </w:pPr>
    </w:p>
    <w:p w14:paraId="7825E14A" w14:textId="5EB4041C" w:rsidR="006139D9" w:rsidRPr="00ED1CDD" w:rsidRDefault="005A2A20" w:rsidP="006139D9">
      <w:pPr>
        <w:rPr>
          <w:rFonts w:ascii="Garamond" w:hAnsi="Garamond"/>
          <w:b/>
        </w:rPr>
      </w:pPr>
      <w:r w:rsidRPr="00ED1CDD">
        <w:rPr>
          <w:rFonts w:ascii="Garamond" w:hAnsi="Garamond"/>
          <w:b/>
        </w:rPr>
        <w:t>Primo anno</w:t>
      </w:r>
    </w:p>
    <w:p w14:paraId="6040C95E" w14:textId="77777777" w:rsidR="006139D9" w:rsidRPr="00ED1CDD" w:rsidRDefault="006139D9" w:rsidP="006139D9">
      <w:pPr>
        <w:jc w:val="center"/>
        <w:rPr>
          <w:rFonts w:ascii="Garamond" w:hAnsi="Garamond"/>
        </w:rPr>
      </w:pPr>
    </w:p>
    <w:p w14:paraId="1F1823BE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fondamenti di biologia</w:t>
      </w:r>
    </w:p>
    <w:p w14:paraId="7C1FECC9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 microorganismi</w:t>
      </w:r>
    </w:p>
    <w:p w14:paraId="6FCBE72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forme batteriche e virali</w:t>
      </w:r>
    </w:p>
    <w:p w14:paraId="7C6EF6F6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caratteristiche biologiche dei microorganismi</w:t>
      </w:r>
    </w:p>
    <w:p w14:paraId="4805460F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le vie di contaminazione</w:t>
      </w:r>
    </w:p>
    <w:p w14:paraId="0D5D8FAF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contaminazioni alimentari dirette e crociate</w:t>
      </w:r>
    </w:p>
    <w:p w14:paraId="595DE51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igiene, concetti di detersione e di disinfezione</w:t>
      </w:r>
    </w:p>
    <w:p w14:paraId="0229BBBC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 principali metodi di conservazione</w:t>
      </w:r>
    </w:p>
    <w:p w14:paraId="1613C6C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 principali materiali utilizzati per la conservazione naturale</w:t>
      </w:r>
    </w:p>
    <w:p w14:paraId="0FBCC17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 xml:space="preserve"> igiene del personale: </w:t>
      </w:r>
    </w:p>
    <w:p w14:paraId="5755E909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divisa</w:t>
      </w:r>
    </w:p>
    <w:p w14:paraId="15D9E812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l’igiene personale e la cura generale della persona</w:t>
      </w:r>
    </w:p>
    <w:p w14:paraId="63A8C04C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il lavaggio delle mani</w:t>
      </w:r>
    </w:p>
    <w:p w14:paraId="5BE60191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pulizia dei locali e degli ambienti di lavoro</w:t>
      </w:r>
    </w:p>
    <w:p w14:paraId="21D70F57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 xml:space="preserve"> igiene delle lavorazioni</w:t>
      </w:r>
    </w:p>
    <w:p w14:paraId="52743327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protocolli operativi di pulizia delle macchine</w:t>
      </w:r>
    </w:p>
    <w:p w14:paraId="4EDB41FF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protocolli operativi di pulizia degli strumenti</w:t>
      </w:r>
    </w:p>
    <w:p w14:paraId="4C7FC3E1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l’utilizzo delle alte e basse temperature in contesto di igiene</w:t>
      </w:r>
    </w:p>
    <w:p w14:paraId="5C8A6C53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degli alimenti</w:t>
      </w:r>
    </w:p>
    <w:p w14:paraId="456A80F9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degli strumenti</w:t>
      </w:r>
    </w:p>
    <w:p w14:paraId="21E29B9D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degli imballaggi</w:t>
      </w:r>
    </w:p>
    <w:p w14:paraId="0D7890A2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dei rifiuti</w:t>
      </w:r>
    </w:p>
    <w:p w14:paraId="65514BF9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 xml:space="preserve"> Introduzione generale al concetto di autocontrollo</w:t>
      </w:r>
    </w:p>
    <w:p w14:paraId="7ADC8757" w14:textId="77777777" w:rsidR="00ED1CDD" w:rsidRPr="00ED1CDD" w:rsidRDefault="00ED1CDD" w:rsidP="00ED1CDD">
      <w:pPr>
        <w:pStyle w:val="Paragrafoelenco"/>
        <w:rPr>
          <w:rFonts w:ascii="Garamond" w:hAnsi="Garamond"/>
        </w:rPr>
      </w:pPr>
    </w:p>
    <w:p w14:paraId="3E3F9470" w14:textId="77777777" w:rsidR="008B708B" w:rsidRPr="00BD0D01" w:rsidRDefault="008B708B" w:rsidP="008B708B">
      <w:pPr>
        <w:rPr>
          <w:rFonts w:ascii="Garamond" w:hAnsi="Garamond"/>
        </w:rPr>
      </w:pPr>
    </w:p>
    <w:p w14:paraId="282E6C13" w14:textId="77777777" w:rsidR="008B708B" w:rsidRPr="00BD0D01" w:rsidRDefault="008B708B" w:rsidP="008B708B">
      <w:pPr>
        <w:rPr>
          <w:rFonts w:ascii="Garamond" w:hAnsi="Garamond"/>
          <w:b/>
        </w:rPr>
      </w:pPr>
      <w:r w:rsidRPr="00BD0D01">
        <w:rPr>
          <w:rFonts w:ascii="Garamond" w:hAnsi="Garamond"/>
          <w:b/>
        </w:rPr>
        <w:t>Secondo anno</w:t>
      </w:r>
    </w:p>
    <w:p w14:paraId="17F4D126" w14:textId="77777777" w:rsidR="008B708B" w:rsidRPr="00BD0D01" w:rsidRDefault="008B708B" w:rsidP="008B708B">
      <w:pPr>
        <w:rPr>
          <w:rFonts w:ascii="Garamond" w:hAnsi="Garamond"/>
        </w:rPr>
      </w:pPr>
    </w:p>
    <w:p w14:paraId="260853C8" w14:textId="77777777" w:rsidR="008B708B" w:rsidRPr="00BD0D01" w:rsidRDefault="008B708B" w:rsidP="008B708B">
      <w:pPr>
        <w:pStyle w:val="Paragrafoelenco"/>
        <w:rPr>
          <w:rFonts w:ascii="Garamond" w:hAnsi="Garamond"/>
        </w:rPr>
      </w:pPr>
    </w:p>
    <w:p w14:paraId="2882E33E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Legislazione alimentare, evoluzione storica</w:t>
      </w:r>
    </w:p>
    <w:p w14:paraId="40549538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Quadro normativo generale, il contesto europeo</w:t>
      </w:r>
    </w:p>
    <w:p w14:paraId="07ED5B11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La legislazione sulle etichettature degli alimenti</w:t>
      </w:r>
    </w:p>
    <w:p w14:paraId="37CB46DC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La legislazione introduttiva dell’autocontrollo</w:t>
      </w:r>
    </w:p>
    <w:p w14:paraId="0C6A3BCB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 regolamenti CE 852-853-854-882/2004</w:t>
      </w:r>
    </w:p>
    <w:p w14:paraId="6284945D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Il pacchetto igiene nel suo sviluppo pratico</w:t>
      </w:r>
    </w:p>
    <w:p w14:paraId="133CA7C7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 corsi di formazione per gli alimentaristi</w:t>
      </w:r>
    </w:p>
    <w:p w14:paraId="18FD37AA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La tracciabilità degli alimenti</w:t>
      </w:r>
    </w:p>
    <w:p w14:paraId="454D3B57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Il sistema dei controlli</w:t>
      </w:r>
    </w:p>
    <w:p w14:paraId="3EEA567E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Il sistema H.A.C.C.P.</w:t>
      </w:r>
    </w:p>
    <w:p w14:paraId="3F04EA1A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Costruzione di un protocoll</w:t>
      </w:r>
      <w:bookmarkStart w:id="0" w:name="_GoBack"/>
      <w:bookmarkEnd w:id="0"/>
      <w:r w:rsidRPr="008B708B">
        <w:rPr>
          <w:rFonts w:ascii="Garamond" w:hAnsi="Garamond"/>
          <w:strike/>
        </w:rPr>
        <w:t>o di autocontrollo</w:t>
      </w:r>
    </w:p>
    <w:p w14:paraId="3A95C87A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lastRenderedPageBreak/>
        <w:t xml:space="preserve"> Compilazione del manuale H.A.C.C.P.</w:t>
      </w:r>
    </w:p>
    <w:p w14:paraId="1F38D2C7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Costruzione di un diagramma di flusso</w:t>
      </w:r>
    </w:p>
    <w:p w14:paraId="61FAE9B1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Le allergie e le intolleranze: caratteristiche generali</w:t>
      </w:r>
    </w:p>
    <w:p w14:paraId="71E41D7D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L’intolleranza al lattosio</w:t>
      </w:r>
    </w:p>
    <w:p w14:paraId="574C3DB8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La fenilchetonuria</w:t>
      </w:r>
    </w:p>
    <w:p w14:paraId="22E898AF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Il favismo</w:t>
      </w:r>
    </w:p>
    <w:p w14:paraId="50362713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La celiachia</w:t>
      </w:r>
    </w:p>
    <w:p w14:paraId="4885D1E7" w14:textId="77777777" w:rsidR="008B708B" w:rsidRDefault="008B708B" w:rsidP="008B708B">
      <w:pPr>
        <w:rPr>
          <w:b/>
        </w:rPr>
      </w:pPr>
      <w:r w:rsidRPr="0067410D">
        <w:rPr>
          <w:b/>
        </w:rPr>
        <w:t>Terzo anno</w:t>
      </w:r>
    </w:p>
    <w:p w14:paraId="50D26821" w14:textId="77777777" w:rsidR="008B708B" w:rsidRDefault="008B708B" w:rsidP="008B708B">
      <w:pPr>
        <w:rPr>
          <w:b/>
        </w:rPr>
      </w:pPr>
    </w:p>
    <w:p w14:paraId="32F19254" w14:textId="77777777" w:rsidR="008B708B" w:rsidRPr="006F3A35" w:rsidRDefault="008B708B" w:rsidP="008B708B">
      <w:pPr>
        <w:rPr>
          <w:rFonts w:ascii="Times" w:hAnsi="Times"/>
        </w:rPr>
      </w:pPr>
    </w:p>
    <w:p w14:paraId="78878045" w14:textId="77777777" w:rsidR="008B708B" w:rsidRPr="000B0945" w:rsidRDefault="008B708B" w:rsidP="008B708B">
      <w:pPr>
        <w:pStyle w:val="Paragrafoelenco"/>
        <w:numPr>
          <w:ilvl w:val="0"/>
          <w:numId w:val="10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>Cenni di microbiologia (trasmissione delle malattie infettive, microrganismi, contaminazioni).</w:t>
      </w:r>
    </w:p>
    <w:p w14:paraId="0150DC85" w14:textId="77777777" w:rsidR="008B708B" w:rsidRPr="000B0945" w:rsidRDefault="008B708B" w:rsidP="008B708B">
      <w:pPr>
        <w:pStyle w:val="Paragrafoelenco"/>
        <w:numPr>
          <w:ilvl w:val="0"/>
          <w:numId w:val="10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 xml:space="preserve">Le principali malattie del settore alimentare (salmonella, stafilococco aureo, </w:t>
      </w:r>
      <w:proofErr w:type="spellStart"/>
      <w:r w:rsidRPr="000B0945">
        <w:rPr>
          <w:strike/>
        </w:rPr>
        <w:t>clostridium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perfringens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bacillus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cereus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clostridium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botulinum</w:t>
      </w:r>
      <w:proofErr w:type="spellEnd"/>
      <w:r w:rsidRPr="000B0945">
        <w:rPr>
          <w:strike/>
        </w:rPr>
        <w:t xml:space="preserve">, listeria </w:t>
      </w:r>
      <w:proofErr w:type="spellStart"/>
      <w:r w:rsidRPr="000B0945">
        <w:rPr>
          <w:strike/>
        </w:rPr>
        <w:t>monocytogenes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vibrio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parahaemoliticus</w:t>
      </w:r>
      <w:proofErr w:type="spellEnd"/>
      <w:r w:rsidRPr="000B0945">
        <w:rPr>
          <w:strike/>
        </w:rPr>
        <w:t>, escherichia coli).</w:t>
      </w:r>
    </w:p>
    <w:p w14:paraId="16287AC3" w14:textId="77777777" w:rsidR="008B708B" w:rsidRPr="000B0945" w:rsidRDefault="008B708B" w:rsidP="008B708B">
      <w:pPr>
        <w:pStyle w:val="Paragrafoelenco"/>
        <w:numPr>
          <w:ilvl w:val="0"/>
          <w:numId w:val="10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 xml:space="preserve">Schede </w:t>
      </w:r>
      <w:proofErr w:type="spellStart"/>
      <w:r w:rsidRPr="000B0945">
        <w:rPr>
          <w:strike/>
        </w:rPr>
        <w:t>haccp</w:t>
      </w:r>
      <w:proofErr w:type="spellEnd"/>
      <w:r w:rsidRPr="000B0945">
        <w:rPr>
          <w:strike/>
        </w:rPr>
        <w:t>.</w:t>
      </w:r>
    </w:p>
    <w:p w14:paraId="29FA5745" w14:textId="77777777" w:rsidR="008B708B" w:rsidRPr="000B0945" w:rsidRDefault="008B708B" w:rsidP="008B708B">
      <w:pPr>
        <w:rPr>
          <w:rFonts w:cs="Tahoma"/>
          <w:strike/>
        </w:rPr>
      </w:pPr>
    </w:p>
    <w:p w14:paraId="6C49CB2B" w14:textId="77777777" w:rsidR="00BD0D01" w:rsidRPr="00ED1CDD" w:rsidRDefault="00BD0D01" w:rsidP="00BD0D01">
      <w:pPr>
        <w:spacing w:after="200" w:line="276" w:lineRule="auto"/>
        <w:contextualSpacing/>
        <w:rPr>
          <w:rFonts w:ascii="Garamond" w:hAnsi="Garamond"/>
        </w:rPr>
      </w:pPr>
    </w:p>
    <w:sectPr w:rsidR="00BD0D01" w:rsidRPr="00ED1CDD" w:rsidSect="003842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444EA2"/>
    <w:multiLevelType w:val="hybridMultilevel"/>
    <w:tmpl w:val="C6BCD7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6353D"/>
    <w:multiLevelType w:val="hybridMultilevel"/>
    <w:tmpl w:val="33DCFB6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2905"/>
    <w:multiLevelType w:val="hybridMultilevel"/>
    <w:tmpl w:val="CF826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4B56"/>
    <w:multiLevelType w:val="hybridMultilevel"/>
    <w:tmpl w:val="941445C8"/>
    <w:lvl w:ilvl="0" w:tplc="AD54F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6B46"/>
    <w:multiLevelType w:val="hybridMultilevel"/>
    <w:tmpl w:val="3C46B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13234"/>
    <w:multiLevelType w:val="hybridMultilevel"/>
    <w:tmpl w:val="A9FEE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40304"/>
    <w:multiLevelType w:val="hybridMultilevel"/>
    <w:tmpl w:val="479CA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D9"/>
    <w:rsid w:val="000C4A81"/>
    <w:rsid w:val="0030095E"/>
    <w:rsid w:val="0038425D"/>
    <w:rsid w:val="005A2A20"/>
    <w:rsid w:val="005C171E"/>
    <w:rsid w:val="006139D9"/>
    <w:rsid w:val="007E06C3"/>
    <w:rsid w:val="008B708B"/>
    <w:rsid w:val="00A67ED8"/>
    <w:rsid w:val="00BD0D01"/>
    <w:rsid w:val="00C035F5"/>
    <w:rsid w:val="00D03386"/>
    <w:rsid w:val="00D156A4"/>
    <w:rsid w:val="00E66D85"/>
    <w:rsid w:val="00ED1CDD"/>
    <w:rsid w:val="00FA40F9"/>
    <w:rsid w:val="00FB25DF"/>
    <w:rsid w:val="00FB6758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19A0"/>
  <w14:defaultImageDpi w14:val="300"/>
  <w15:docId w15:val="{D896D5F6-CAE4-4679-AA42-4F26354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9D9"/>
    <w:pPr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3</cp:revision>
  <dcterms:created xsi:type="dcterms:W3CDTF">2019-05-06T11:01:00Z</dcterms:created>
  <dcterms:modified xsi:type="dcterms:W3CDTF">2020-02-20T10:16:00Z</dcterms:modified>
</cp:coreProperties>
</file>